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3C06" w14:textId="77777777" w:rsidR="00295A23" w:rsidRPr="00295A23" w:rsidRDefault="00295A23" w:rsidP="00295A23">
      <w:pPr>
        <w:shd w:val="clear" w:color="auto" w:fill="FFFFFF"/>
        <w:spacing w:after="0" w:line="240" w:lineRule="auto"/>
        <w:outlineLvl w:val="0"/>
        <w:rPr>
          <w:rFonts w:ascii="SourceSansPro" w:eastAsia="Times New Roman" w:hAnsi="SourceSansPro" w:cs="Times New Roman"/>
          <w:color w:val="1B1B4F"/>
          <w:kern w:val="36"/>
          <w:sz w:val="69"/>
          <w:szCs w:val="69"/>
          <w:lang w:eastAsia="pl-PL"/>
        </w:rPr>
      </w:pPr>
      <w:r w:rsidRPr="00295A23">
        <w:rPr>
          <w:rFonts w:ascii="SourceSansPro" w:eastAsia="Times New Roman" w:hAnsi="SourceSansPro" w:cs="Times New Roman"/>
          <w:b/>
          <w:bCs/>
          <w:color w:val="1B1B4F"/>
          <w:kern w:val="36"/>
          <w:sz w:val="69"/>
          <w:szCs w:val="69"/>
          <w:lang w:eastAsia="pl-PL"/>
        </w:rPr>
        <w:t>SPRZĘT DLA NASZEJ SZKOŁY Z KPO</w:t>
      </w:r>
    </w:p>
    <w:p w14:paraId="78B68B45" w14:textId="77777777" w:rsidR="00295A23" w:rsidRPr="00295A23" w:rsidRDefault="00295A23" w:rsidP="00295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pl-PL"/>
        </w:rPr>
      </w:pPr>
      <w:r w:rsidRPr="00295A23">
        <w:rPr>
          <w:rFonts w:ascii="SourceSansPro" w:eastAsia="Times New Roman" w:hAnsi="SourceSansPro" w:cs="Times New Roman"/>
          <w:color w:val="3D3D3D"/>
          <w:sz w:val="20"/>
          <w:szCs w:val="20"/>
          <w:lang w:eastAsia="pl-PL"/>
        </w:rPr>
        <w:fldChar w:fldCharType="begin"/>
      </w:r>
      <w:r w:rsidRPr="00295A23">
        <w:rPr>
          <w:rFonts w:ascii="SourceSansPro" w:eastAsia="Times New Roman" w:hAnsi="SourceSansPro" w:cs="Times New Roman"/>
          <w:color w:val="3D3D3D"/>
          <w:sz w:val="20"/>
          <w:szCs w:val="20"/>
          <w:lang w:eastAsia="pl-PL"/>
        </w:rPr>
        <w:instrText xml:space="preserve"> HYPERLINK "https://zsppolomia.pl/aktualnosci/sprzet-dla-szkol-z-kpo.html" \l "comment_section" </w:instrText>
      </w:r>
      <w:r w:rsidRPr="00295A23">
        <w:rPr>
          <w:rFonts w:ascii="SourceSansPro" w:eastAsia="Times New Roman" w:hAnsi="SourceSansPro" w:cs="Times New Roman"/>
          <w:color w:val="3D3D3D"/>
          <w:sz w:val="20"/>
          <w:szCs w:val="20"/>
          <w:lang w:eastAsia="pl-PL"/>
        </w:rPr>
      </w:r>
      <w:r w:rsidRPr="00295A23">
        <w:rPr>
          <w:rFonts w:ascii="SourceSansPro" w:eastAsia="Times New Roman" w:hAnsi="SourceSansPro" w:cs="Times New Roman"/>
          <w:color w:val="3D3D3D"/>
          <w:sz w:val="20"/>
          <w:szCs w:val="20"/>
          <w:lang w:eastAsia="pl-PL"/>
        </w:rPr>
        <w:fldChar w:fldCharType="separate"/>
      </w:r>
    </w:p>
    <w:p w14:paraId="0E09C5CA" w14:textId="77777777" w:rsidR="00295A23" w:rsidRPr="00295A23" w:rsidRDefault="00295A23" w:rsidP="00295A23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>
        <w:rPr>
          <w:rFonts w:ascii="SourceSansPro" w:eastAsia="Times New Roman" w:hAnsi="SourceSansPro" w:cs="Times New Roman"/>
          <w:color w:val="0000FF"/>
          <w:sz w:val="20"/>
          <w:szCs w:val="20"/>
          <w:bdr w:val="none" w:sz="0" w:space="0" w:color="auto" w:frame="1"/>
          <w:lang w:eastAsia="pl-PL"/>
        </w:rPr>
        <w:t>  </w:t>
      </w:r>
      <w:r w:rsidRPr="00295A23">
        <w:rPr>
          <w:rFonts w:ascii="SourceSansPro" w:eastAsia="Times New Roman" w:hAnsi="SourceSansPro" w:cs="Times New Roman"/>
          <w:color w:val="3D3D3D"/>
          <w:sz w:val="20"/>
          <w:szCs w:val="20"/>
          <w:lang w:eastAsia="pl-PL"/>
        </w:rPr>
        <w:fldChar w:fldCharType="end"/>
      </w:r>
    </w:p>
    <w:p w14:paraId="27F58344" w14:textId="77777777" w:rsidR="00295A23" w:rsidRDefault="00295A23" w:rsidP="00295A23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</w:p>
    <w:p w14:paraId="10B999FA" w14:textId="77777777" w:rsidR="00295A23" w:rsidRDefault="00295A23" w:rsidP="00295A23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D551993" wp14:editId="74C2FB42">
            <wp:extent cx="8892540" cy="1057197"/>
            <wp:effectExtent l="0" t="0" r="3810" b="0"/>
            <wp:docPr id="2" name="Obraz 2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D03B" w14:textId="77777777" w:rsidR="00295A23" w:rsidRDefault="00295A23" w:rsidP="00E8002F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</w:p>
    <w:p w14:paraId="2D4C8212" w14:textId="77777777" w:rsidR="00DB3926" w:rsidRDefault="00295A23" w:rsidP="00E8002F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</w:pPr>
      <w:r w:rsidRPr="00295A23"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  <w:t>SPRZĘT DLA SZKÓŁ Z KPO- REALIZACJA WSKAŹNIKA C15G LAPTOPY, LAPTOPY PRZEGLĄDARKOWE I TABLETY DO DYSPOZYCJI</w:t>
      </w:r>
      <w:r w:rsidR="00E8002F"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  <w:t xml:space="preserve"> </w:t>
      </w:r>
      <w:r w:rsidRPr="00295A23"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  <w:t>UCZNIÓW</w:t>
      </w:r>
    </w:p>
    <w:p w14:paraId="3FC53B0E" w14:textId="1EB1FD3B" w:rsidR="00295A23" w:rsidRPr="00295A23" w:rsidRDefault="00295A23" w:rsidP="00E8002F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  <w:t>Na mocy umowy nieodpłatnego przekazania sprzętu między Gminą Mszaną a Skarbem Państwa - Ministrem Cyfryzacji, do naszej szkoły trafił sprzęt, który będzie wykorzystywany do celów edukacyjnych w ramach realizacji wskaźnika C15G.</w:t>
      </w:r>
    </w:p>
    <w:p w14:paraId="0C7756D7" w14:textId="77777777" w:rsidR="00295A23" w:rsidRPr="00295A23" w:rsidRDefault="00295A23" w:rsidP="00E8002F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Gmina Mszana w październiku 2025 r. podpisała umowę nieodpłatnego przekazania sprzętu dla szkół w ramach inwestycji „Wdrażanie inwestycji C2.1.2 Wyrównanie poziomu wyposażenia szkół w przenośne urządzenia multimedialne – inwestycje związane ze spełnieniem minimalnych standardów sprzętowych, wskaźnik C15G Nowe komputery przenośne (laptopy, laptopy przeglądarkowe i tablety) do dyspozycji uczniów” z Naukową i Akademicką Siecią Komputerową – Państwowym Instytutem Badawczym, działającą w imieniu Ministra Cyfryzacji.</w:t>
      </w:r>
    </w:p>
    <w:p w14:paraId="594B25E9" w14:textId="1C1DA629" w:rsidR="00295A23" w:rsidRPr="00295A23" w:rsidRDefault="00295A23" w:rsidP="00E8002F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 xml:space="preserve">Celem inwestycji jest poprawa kompetencji cyfrowej uczniów i nauczycieli oraz wyrównywanie szans edukacyjnych w Polsce. Sprzęt dostarczony do szkół z KPO ma wyrównać poziom wyposażenia szkół w nowoczesny sprzęt, a tym samym zniwelować różnice w dostępie do nowoczesnych technologii. Nowe wyposażenie nie tylko uatrakcyjni proces dydaktyczny, ale także umożliwi lepsze przygotowanie młodzieży do funkcjonowania w dynamicznie zmieniającym się cyfrowym świecie. Łącznie do naszej szkoły dostarczono: </w:t>
      </w:r>
      <w:r w:rsidR="00E8002F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27</w:t>
      </w: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 xml:space="preserve"> szt. laptopów, </w:t>
      </w:r>
      <w:r w:rsidR="00E8002F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8</w:t>
      </w: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 xml:space="preserve"> szt. laptopów przeglądarkowych, </w:t>
      </w:r>
      <w:r w:rsidR="00E8002F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16</w:t>
      </w: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 xml:space="preserve"> szt. tabletów o wartości </w:t>
      </w:r>
      <w:r w:rsidR="00E8002F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110597,75</w:t>
      </w: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 xml:space="preserve"> zł.</w:t>
      </w:r>
    </w:p>
    <w:p w14:paraId="32FA3124" w14:textId="2A602D2B" w:rsidR="00295A23" w:rsidRPr="00295A23" w:rsidRDefault="00295A23" w:rsidP="00E8002F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  <w:t>Łączna kwota dofinansowania z UE na wyrównanie poziomu wyposażenia szkół</w:t>
      </w: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  <w:t xml:space="preserve">w przenośne urządzenia multimedialne – inwestycje związane ze spełnieniem minimalnych standardów sprzętowych, wskaźnik C15G to kwota </w:t>
      </w:r>
      <w:r w:rsidR="00E8002F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 xml:space="preserve">      </w:t>
      </w:r>
      <w:r w:rsidRPr="00295A23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1 410 000 000,00 PLN.</w:t>
      </w:r>
    </w:p>
    <w:p w14:paraId="433BEF38" w14:textId="68716B3A" w:rsidR="003F1282" w:rsidRDefault="00FA6A89">
      <w:r>
        <w:t xml:space="preserve"> </w:t>
      </w:r>
    </w:p>
    <w:sectPr w:rsidR="003F1282" w:rsidSect="00295A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23"/>
    <w:rsid w:val="00295A23"/>
    <w:rsid w:val="003F1282"/>
    <w:rsid w:val="009F1F1D"/>
    <w:rsid w:val="00DB3926"/>
    <w:rsid w:val="00E8002F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2C21"/>
  <w15:chartTrackingRefBased/>
  <w15:docId w15:val="{02328B21-DE35-4B86-A866-2A213E93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renatagatnar058@gmail.com</dc:creator>
  <cp:keywords/>
  <dc:description/>
  <cp:lastModifiedBy>beata.wieszolek@sp-mszana.com</cp:lastModifiedBy>
  <cp:revision>2</cp:revision>
  <dcterms:created xsi:type="dcterms:W3CDTF">2026-01-19T11:47:00Z</dcterms:created>
  <dcterms:modified xsi:type="dcterms:W3CDTF">2026-01-19T11:47:00Z</dcterms:modified>
</cp:coreProperties>
</file>